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0" w:after="0"/>
      </w:pPr>
      <w:r>
        <w:rPr>
          <w:rFonts w:ascii="Arial" w:hAnsi="Arial"/>
          <w:b/>
          <w:caps/>
          <w:color w:val="17365D"/>
          <w:sz w:val="47"/>
        </w:rPr>
        <w:t>DAVID A. FARRIS</w:t>
      </w:r>
    </w:p>
    <w:p>
      <w:pPr>
        <w:widowControl/>
        <w:spacing w:before="0" w:after="30"/>
      </w:pPr>
      <w:r>
        <w:t>SECURITY &amp; AI ARCHITECTURE ENGINEER  |  CLOUD, ZERO TRUST &amp; ENTERPRISE AI</w:t>
      </w:r>
    </w:p>
    <w:p>
      <w:pPr>
        <w:spacing w:before="0" w:after="90"/>
        <w:widowControl/>
        <w:pBdr>
          <w:bottom w:val="single" w:sz="12" w:space="4" w:color="2E74B5"/>
        </w:pBdr>
      </w:pPr>
      <w:r>
        <w:rPr>
          <w:rFonts w:ascii="Arial" w:hAnsi="Arial"/>
          <w:caps w:val="0"/>
          <w:color w:val="5A6069"/>
          <w:sz w:val="18"/>
        </w:rPr>
        <w:t>Chicago, IL  |  +1 312 539 5587  |  david@daf-tech.com</w:t>
      </w:r>
    </w:p>
    <w:p>
      <w:pPr>
        <w:pStyle w:val="ResumeSection"/>
        <w:keepNext/>
        <w:widowControl/>
        <w:pBdr>
          <w:bottom w:val="single" w:sz="7" w:space="2" w:color="B8C6D9"/>
        </w:pBdr>
      </w:pPr>
      <w:r>
        <w:rPr>
          <w:rFonts w:ascii="Arial" w:hAnsi="Arial"/>
          <w:b/>
          <w:caps/>
          <w:color w:val="2E74B5"/>
          <w:sz w:val="21"/>
        </w:rPr>
        <w:t>EXECUTIVE PROFILE</w:t>
      </w:r>
    </w:p>
    <w:p>
      <w:pPr>
        <w:widowControl/>
        <w:spacing w:after="60"/>
      </w:pPr>
      <w:r>
        <w:t>Security and AI architecture engineer with deep experience designing cloud, identity, Zero Trust, M&amp;A integration, and digital-platform patterns across complex enterprise environments. Builds governed, reusable AI capabilities that connect security controls, enterprise data, workflow automation, and measurable operational outcomes. Combines hands-on engineering depth with architecture judgment spanning Cloudflare, Azure, Microsoft Entra ID, SaaS security, hybrid infrastructure, AI skills, MCP integrations, and emerging AI risk.</w:t>
      </w:r>
    </w:p>
    <w:p>
      <w:pPr>
        <w:pStyle w:val="ResumeSection"/>
        <w:keepNext/>
        <w:widowControl/>
        <w:pBdr>
          <w:bottom w:val="single" w:sz="7" w:space="2" w:color="B8C6D9"/>
        </w:pBdr>
      </w:pPr>
      <w:r>
        <w:rPr>
          <w:rFonts w:ascii="Arial" w:hAnsi="Arial"/>
          <w:b/>
          <w:caps/>
          <w:color w:val="2E74B5"/>
          <w:sz w:val="21"/>
        </w:rPr>
        <w:t>CORE ARCHITECTURE EXPERTISE</w:t>
      </w:r>
    </w:p>
    <w:p>
      <w:pPr>
        <w:widowControl/>
        <w:spacing w:after="60"/>
      </w:pPr>
      <w:r>
        <w:t>Security Architecture &amp; Reviews  |  Enterprise AI Architecture  |  AI Skills &amp; MCP  |  AI Governance &amp; Observability  |  Zero Trust &amp; IAM  |  Cloudflare Security / WAF / DNS  |  Azure &amp; Entra ID  |  Threat Modeling &amp; Risk Assessment  |  M&amp;A Technical Integration  |  DevSecOps  |  IaC &amp; Automation</w:t>
      </w:r>
    </w:p>
    <w:p>
      <w:pPr>
        <w:pStyle w:val="ResumeSection"/>
        <w:keepNext/>
        <w:widowControl/>
        <w:pBdr>
          <w:bottom w:val="single" w:sz="7" w:space="2" w:color="B8C6D9"/>
        </w:pBdr>
      </w:pPr>
      <w:r>
        <w:rPr>
          <w:rFonts w:ascii="Arial" w:hAnsi="Arial"/>
          <w:b/>
          <w:caps/>
          <w:color w:val="2E74B5"/>
          <w:sz w:val="21"/>
        </w:rPr>
        <w:t>PROFESSIONAL EXPERIENCE</w:t>
      </w:r>
    </w:p>
    <w:p>
      <w:pPr>
        <w:pStyle w:val="Company"/>
        <w:keepNext/>
        <w:widowControl/>
        <w:tabs>
          <w:tab w:pos="10339" w:val="right"/>
        </w:tabs>
      </w:pPr>
      <w:r>
        <w:rPr>
          <w:rFonts w:ascii="Arial" w:hAnsi="Arial"/>
          <w:b/>
          <w:caps w:val="0"/>
          <w:color w:val="17365D"/>
          <w:sz w:val="22"/>
        </w:rPr>
        <w:t>HUB International</w:t>
      </w:r>
      <w:r>
        <w:rPr>
          <w:rFonts w:ascii="Arial" w:hAnsi="Arial"/>
          <w:caps w:val="0"/>
          <w:color w:val="5A6069"/>
          <w:sz w:val="18"/>
        </w:rPr>
        <w:t xml:space="preserve">  |  Chicago, IL</w:t>
      </w:r>
      <w:r>
        <w:tab/>
      </w:r>
      <w:r>
        <w:rPr>
          <w:rFonts w:ascii="Arial" w:hAnsi="Arial"/>
          <w:b/>
          <w:caps w:val="0"/>
          <w:color w:val="5A6069"/>
          <w:sz w:val="18"/>
        </w:rPr>
        <w:t>Dec 2022 - Present</w:t>
      </w:r>
    </w:p>
    <w:p>
      <w:pPr>
        <w:pStyle w:val="Role"/>
        <w:keepNext/>
        <w:widowControl/>
        <w:tabs>
          <w:tab w:pos="10339" w:val="right"/>
        </w:tabs>
      </w:pPr>
      <w:r>
        <w:rPr>
          <w:rFonts w:ascii="Arial" w:hAnsi="Arial"/>
          <w:b/>
          <w:caps w:val="0"/>
          <w:color w:val="1E1E1E"/>
          <w:sz w:val="19"/>
        </w:rPr>
        <w:t>Security Architecture Engineer</w:t>
      </w:r>
      <w:r>
        <w:tab/>
      </w:r>
      <w:r>
        <w:rPr>
          <w:rFonts w:ascii="Arial" w:hAnsi="Arial"/>
          <w:i/>
          <w:caps w:val="0"/>
          <w:color w:val="5A6069"/>
          <w:sz w:val="18"/>
        </w:rPr>
        <w:t>Jan 2025 - Present</w:t>
      </w:r>
    </w:p>
    <w:p>
      <w:pPr>
        <w:pStyle w:val="ResumeBullet"/>
        <w:widowControl/>
        <w:numPr>
          <w:ilvl w:val="0"/>
          <w:numId w:val="10"/>
        </w:numPr>
      </w:pPr>
      <w:r>
        <w:t>Develop and review security and AI architecture frameworks, reference patterns, and controls for cloud, on-premises, hybrid, and AI-enabled initiatives, aligning designs with NIST, ISO 27001, CIS, and applicable regulatory requirements.</w:t>
      </w:r>
    </w:p>
    <w:p>
      <w:pPr>
        <w:pStyle w:val="ResumeBullet"/>
        <w:widowControl/>
        <w:numPr>
          <w:ilvl w:val="0"/>
          <w:numId w:val="10"/>
        </w:numPr>
      </w:pPr>
      <w:r>
        <w:rPr>
          <w:rFonts w:ascii="Arial" w:hAnsi="Arial"/>
          <w:caps w:val="0"/>
          <w:color w:val="1E1E1E"/>
          <w:sz w:val="18"/>
        </w:rPr>
        <w:t>Lead threat modeling and architecture risk assessments for new and existing systems; document findings through Security Architecture Reviews, blueprints, runbooks, operational guides, and actionable remediation plans.</w:t>
      </w:r>
    </w:p>
    <w:p>
      <w:pPr>
        <w:pStyle w:val="ResumeBullet"/>
        <w:widowControl/>
        <w:numPr>
          <w:ilvl w:val="0"/>
          <w:numId w:val="10"/>
        </w:numPr>
      </w:pPr>
      <w:r>
        <w:rPr>
          <w:rFonts w:ascii="Arial" w:hAnsi="Arial"/>
          <w:caps w:val="0"/>
          <w:color w:val="1E1E1E"/>
          <w:sz w:val="18"/>
        </w:rPr>
        <w:t>Advance the Cloudflare architecture supporting an enterprise web estate of more than 200 domains and zones, standardizing TLS, WAF, DNS, redirects, logging, and secure onboarding for acquired businesses.</w:t>
      </w:r>
    </w:p>
    <w:p>
      <w:pPr>
        <w:pStyle w:val="ResumeBullet"/>
        <w:widowControl/>
        <w:numPr>
          <w:ilvl w:val="0"/>
          <w:numId w:val="10"/>
        </w:numPr>
      </w:pPr>
      <w:r>
        <w:rPr>
          <w:rFonts w:ascii="Arial" w:hAnsi="Arial"/>
          <w:caps w:val="0"/>
          <w:color w:val="1E1E1E"/>
          <w:sz w:val="18"/>
        </w:rPr>
        <w:t>Designed and deployed a Cloudflare DevOps toolkit for M&amp;A domains and URL redirections, converting repetitive one-off changes into a governed, repeatable engineering workflow.</w:t>
      </w:r>
    </w:p>
    <w:p>
      <w:pPr>
        <w:pStyle w:val="ResumeBullet"/>
        <w:widowControl/>
        <w:numPr>
          <w:ilvl w:val="0"/>
          <w:numId w:val="10"/>
        </w:numPr>
      </w:pPr>
      <w:r>
        <w:rPr>
          <w:rFonts w:ascii="Arial" w:hAnsi="Arial"/>
          <w:caps w:val="0"/>
          <w:color w:val="1E1E1E"/>
          <w:sz w:val="18"/>
        </w:rPr>
        <w:t>Integrate Tanium device signals and GRIP SaaS-security capabilities with Microsoft Entra ID; review SSO and conditional-access designs for security, supportability, and architectural fit.</w:t>
      </w:r>
    </w:p>
    <w:p>
      <w:pPr>
        <w:pStyle w:val="ResumeBullet"/>
        <w:widowControl/>
        <w:numPr>
          <w:ilvl w:val="0"/>
          <w:numId w:val="10"/>
        </w:numPr>
      </w:pPr>
      <w:r>
        <w:t>Architect and build reusable enterprise AI skills and workflows with governed data access, connector and tool trust, approval boundaries, auditability, failure handling, and human-readable operating guidance.</w:t>
      </w:r>
    </w:p>
    <w:p>
      <w:pPr>
        <w:pStyle w:val="Role"/>
        <w:keepNext/>
        <w:widowControl/>
        <w:tabs>
          <w:tab w:pos="10339" w:val="right"/>
        </w:tabs>
      </w:pPr>
      <w:r>
        <w:rPr>
          <w:rFonts w:ascii="Arial" w:hAnsi="Arial"/>
          <w:b/>
          <w:caps w:val="0"/>
          <w:color w:val="1E1E1E"/>
          <w:sz w:val="19"/>
        </w:rPr>
        <w:t>Integration Architect, M&amp;A</w:t>
      </w:r>
      <w:r>
        <w:tab/>
      </w:r>
      <w:r>
        <w:rPr>
          <w:rFonts w:ascii="Arial" w:hAnsi="Arial"/>
          <w:i/>
          <w:caps w:val="0"/>
          <w:color w:val="5A6069"/>
          <w:sz w:val="18"/>
        </w:rPr>
        <w:t>Sep 2024 - Jan 2025</w:t>
      </w:r>
    </w:p>
    <w:p>
      <w:pPr>
        <w:pStyle w:val="ResumeBullet"/>
        <w:widowControl/>
        <w:numPr>
          <w:ilvl w:val="0"/>
          <w:numId w:val="10"/>
        </w:numPr>
      </w:pPr>
      <w:r>
        <w:rPr>
          <w:rFonts w:ascii="Arial" w:hAnsi="Arial"/>
          <w:caps w:val="0"/>
          <w:color w:val="1E1E1E"/>
          <w:sz w:val="18"/>
        </w:rPr>
        <w:t>Designed repeatable integration patterns for technologies acquired through M&amp;A and assessed platforms, applications, and infrastructure for feasibility, risk, supportability, and alignment with the enterprise roadmap.</w:t>
      </w:r>
    </w:p>
    <w:p>
      <w:pPr>
        <w:pStyle w:val="ResumeBullet"/>
        <w:widowControl/>
        <w:numPr>
          <w:ilvl w:val="0"/>
          <w:numId w:val="10"/>
        </w:numPr>
      </w:pPr>
      <w:r>
        <w:rPr>
          <w:rFonts w:ascii="Arial" w:hAnsi="Arial"/>
          <w:caps w:val="0"/>
          <w:color w:val="1E1E1E"/>
          <w:sz w:val="18"/>
        </w:rPr>
        <w:t>Performed technical archaeology on inherited environments, translating fragmented systems into current-state architecture, integration decisions, and leadership-ready recommendations.</w:t>
      </w:r>
    </w:p>
    <w:p>
      <w:pPr>
        <w:pStyle w:val="ResumeBullet"/>
        <w:widowControl/>
        <w:numPr>
          <w:ilvl w:val="0"/>
          <w:numId w:val="10"/>
        </w:numPr>
      </w:pPr>
      <w:r>
        <w:rPr>
          <w:rFonts w:ascii="Arial" w:hAnsi="Arial"/>
          <w:caps w:val="0"/>
          <w:color w:val="1E1E1E"/>
          <w:sz w:val="18"/>
        </w:rPr>
        <w:t>Supported pre-close risk assessments and worked across M&amp;A, Enterprise Architecture, and operational teams to guide onboarding and integration plans.</w:t>
      </w:r>
    </w:p>
    <w:p>
      <w:pPr>
        <w:pStyle w:val="Role"/>
        <w:keepNext/>
        <w:widowControl/>
        <w:tabs>
          <w:tab w:pos="10339" w:val="right"/>
        </w:tabs>
      </w:pPr>
      <w:r>
        <w:rPr>
          <w:rFonts w:ascii="Arial" w:hAnsi="Arial"/>
          <w:b/>
          <w:caps w:val="0"/>
          <w:color w:val="1E1E1E"/>
          <w:sz w:val="19"/>
        </w:rPr>
        <w:t>Infrastructure Engineer, M&amp;A Architecture &amp; Engineering</w:t>
      </w:r>
      <w:r>
        <w:tab/>
      </w:r>
      <w:r>
        <w:rPr>
          <w:rFonts w:ascii="Arial" w:hAnsi="Arial"/>
          <w:i/>
          <w:caps w:val="0"/>
          <w:color w:val="5A6069"/>
          <w:sz w:val="18"/>
        </w:rPr>
        <w:t>May 2024 - Sep 2024</w:t>
      </w:r>
    </w:p>
    <w:p>
      <w:pPr>
        <w:pStyle w:val="ResumeBullet"/>
        <w:widowControl/>
        <w:numPr>
          <w:ilvl w:val="0"/>
          <w:numId w:val="10"/>
        </w:numPr>
      </w:pPr>
      <w:r>
        <w:rPr>
          <w:rFonts w:ascii="Arial" w:hAnsi="Arial"/>
          <w:caps w:val="0"/>
          <w:color w:val="1E1E1E"/>
          <w:sz w:val="18"/>
        </w:rPr>
        <w:t>Assessed and integrated Windows, Active Directory, DNS, storage, virtualization, backup, cloud, and disaster-recovery services across acquired environments.</w:t>
      </w:r>
    </w:p>
    <w:p>
      <w:pPr>
        <w:pStyle w:val="ResumeBullet"/>
        <w:widowControl/>
        <w:numPr>
          <w:ilvl w:val="0"/>
          <w:numId w:val="10"/>
        </w:numPr>
      </w:pPr>
      <w:r>
        <w:rPr>
          <w:rFonts w:ascii="Arial" w:hAnsi="Arial"/>
          <w:caps w:val="0"/>
          <w:color w:val="1E1E1E"/>
          <w:sz w:val="18"/>
        </w:rPr>
        <w:t>Diagnosed systemic infrastructure issues and guided migrations spanning Azure, AWS, VMware, Microsoft Entra ID, file services, and enterprise management platforms.</w:t>
      </w:r>
    </w:p>
    <w:p>
      <w:pPr>
        <w:pStyle w:val="Role"/>
        <w:keepNext/>
        <w:widowControl/>
        <w:tabs>
          <w:tab w:pos="10339" w:val="right"/>
        </w:tabs>
      </w:pPr>
      <w:r>
        <w:rPr>
          <w:rFonts w:ascii="Arial" w:hAnsi="Arial"/>
          <w:b/>
          <w:caps w:val="0"/>
          <w:color w:val="1E1E1E"/>
          <w:sz w:val="19"/>
        </w:rPr>
        <w:t>Digital Platform Engineer</w:t>
      </w:r>
      <w:r>
        <w:tab/>
      </w:r>
      <w:r>
        <w:rPr>
          <w:rFonts w:ascii="Arial" w:hAnsi="Arial"/>
          <w:i/>
          <w:caps w:val="0"/>
          <w:color w:val="5A6069"/>
          <w:sz w:val="18"/>
        </w:rPr>
        <w:t>Dec 2022 - May 2024</w:t>
      </w:r>
    </w:p>
    <w:p>
      <w:pPr>
        <w:pStyle w:val="ResumeBullet"/>
        <w:widowControl/>
        <w:numPr>
          <w:ilvl w:val="0"/>
          <w:numId w:val="10"/>
        </w:numPr>
      </w:pPr>
      <w:r>
        <w:rPr>
          <w:rFonts w:ascii="Arial" w:hAnsi="Arial"/>
          <w:caps w:val="0"/>
          <w:color w:val="1E1E1E"/>
          <w:sz w:val="18"/>
        </w:rPr>
        <w:t>Designed and operated secure Azure digital-platform services including App Service Environment, Application Gateway, API Management, Function Apps, and Log Analytics.</w:t>
      </w:r>
    </w:p>
    <w:p>
      <w:pPr>
        <w:pStyle w:val="ResumeBullet"/>
        <w:widowControl/>
        <w:numPr>
          <w:ilvl w:val="0"/>
          <w:numId w:val="10"/>
        </w:numPr>
      </w:pPr>
      <w:r>
        <w:rPr>
          <w:rFonts w:ascii="Arial" w:hAnsi="Arial"/>
          <w:caps w:val="0"/>
          <w:color w:val="1E1E1E"/>
          <w:sz w:val="18"/>
        </w:rPr>
        <w:t>Integrated third-party applications and APIs, improved platform observability and performance, and developed scalable patterns for business-facing digital services.</w:t>
      </w:r>
    </w:p>
    <w:p>
      <w:pPr>
        <w:pStyle w:val="ResumeBullet"/>
        <w:widowControl/>
        <w:numPr>
          <w:ilvl w:val="0"/>
          <w:numId w:val="10"/>
        </w:numPr>
      </w:pPr>
      <w:r>
        <w:rPr>
          <w:rFonts w:ascii="Arial" w:hAnsi="Arial"/>
          <w:caps w:val="0"/>
          <w:color w:val="1E1E1E"/>
          <w:sz w:val="18"/>
        </w:rPr>
        <w:t>Implemented customer and partner identity integrations through Okta while partnering with development, product, and operations teams on secure delivery.</w:t>
      </w:r>
    </w:p>
    <w:p>
      <w:pPr>
        <w:widowControl/>
      </w:pPr>
      <w:r>
        <w:br w:type="page"/>
      </w:r>
    </w:p>
    <w:p>
      <w:pPr>
        <w:pStyle w:val="ResumeSection"/>
        <w:keepNext/>
        <w:widowControl/>
        <w:pBdr>
          <w:bottom w:val="single" w:sz="7" w:space="2" w:color="B8C6D9"/>
        </w:pBdr>
      </w:pPr>
      <w:r>
        <w:rPr>
          <w:rFonts w:ascii="Arial" w:hAnsi="Arial"/>
          <w:b/>
          <w:caps/>
          <w:color w:val="2E74B5"/>
          <w:sz w:val="21"/>
        </w:rPr>
        <w:t>INDEPENDENT AI ENGINEERING &amp; PROFESSIONAL DEVELOPMENT</w:t>
      </w:r>
    </w:p>
    <w:p>
      <w:pPr>
        <w:pStyle w:val="ResumeBullet"/>
        <w:widowControl/>
        <w:numPr>
          <w:ilvl w:val="0"/>
          <w:numId w:val="10"/>
        </w:numPr>
      </w:pPr>
      <w:r>
        <w:t>AI architecture development: Pursuing a structured, multi-course Udemy curriculum covering generative AI systems, agents, retrieval, MCP, security, governance, evaluation, and enterprise integration, as preparation for an AI architecture certification path.</w:t>
      </w:r>
    </w:p>
    <w:p>
      <w:pPr>
        <w:pStyle w:val="ResumeBullet"/>
        <w:widowControl/>
        <w:numPr>
          <w:ilvl w:val="0"/>
          <w:numId w:val="10"/>
        </w:numPr>
      </w:pPr>
      <w:r>
        <w:t>Skill-builder (VS Code extension): Published an interactive builder that scaffolds structured, reusable AI skills with metadata, scripts, integration points, validation, and governance-oriented controls.</w:t>
      </w:r>
    </w:p>
    <w:p>
      <w:pPr>
        <w:pStyle w:val="ResumeBullet"/>
        <w:widowControl/>
        <w:numPr>
          <w:ilvl w:val="0"/>
          <w:numId w:val="10"/>
        </w:numPr>
      </w:pPr>
      <w:r>
        <w:t>Injecticide / SICT: Developing an AI-security testing suite for prompt injection, jailbreak analysis, trusted-source comparison, and evidence-based evaluation of model and content behavior.</w:t>
      </w:r>
    </w:p>
    <w:p>
      <w:pPr>
        <w:pStyle w:val="ResumeBullet"/>
        <w:widowControl/>
        <w:numPr>
          <w:ilvl w:val="0"/>
          <w:numId w:val="10"/>
        </w:numPr>
      </w:pPr>
      <w:r>
        <w:t>Enterprise AI Skills lifecycle: Created a four-layer framework spanning the organizational thesis, governing standard, engineering playbook, and reusable templates for design, testing, provenance, versioning, publishing, recertification, rollback, and retirement.</w:t>
      </w:r>
    </w:p>
    <w:p>
      <w:pPr>
        <w:pStyle w:val="ResumeBullet"/>
        <w:widowControl/>
        <w:numPr>
          <w:ilvl w:val="0"/>
          <w:numId w:val="10"/>
        </w:numPr>
      </w:pPr>
      <w:r>
        <w:t>MCP, agents, and AI platform architecture: Engineering portable, vendor-neutral MCP services and secure agent workflows with bounded data access, privacy filtering, auditability, gateway controls, usage visibility, and token-cost awareness.</w:t>
      </w:r>
    </w:p>
    <w:p>
      <w:pPr>
        <w:pStyle w:val="ResumeSection"/>
        <w:keepNext/>
        <w:widowControl/>
        <w:pBdr>
          <w:bottom w:val="single" w:sz="7" w:space="2" w:color="B8C6D9"/>
        </w:pBdr>
      </w:pPr>
      <w:r>
        <w:rPr>
          <w:rFonts w:ascii="Arial" w:hAnsi="Arial"/>
          <w:b/>
          <w:caps/>
          <w:color w:val="2E74B5"/>
          <w:sz w:val="21"/>
        </w:rPr>
        <w:t>EARLIER ARCHITECTURE &amp; CLOUD EXPERIENCE</w:t>
      </w:r>
    </w:p>
    <w:p>
      <w:pPr>
        <w:pStyle w:val="CompactRole"/>
        <w:keepNext/>
        <w:widowControl/>
        <w:tabs>
          <w:tab w:pos="10339" w:val="right"/>
        </w:tabs>
      </w:pPr>
      <w:r>
        <w:rPr>
          <w:rFonts w:ascii="Arial" w:hAnsi="Arial"/>
          <w:b/>
          <w:caps w:val="0"/>
          <w:color w:val="17365D"/>
          <w:sz w:val="19"/>
        </w:rPr>
        <w:t>M2GEN</w:t>
      </w:r>
      <w:r>
        <w:rPr>
          <w:rFonts w:ascii="Arial" w:hAnsi="Arial"/>
          <w:b/>
          <w:caps w:val="0"/>
          <w:color w:val="1E1E1E"/>
          <w:sz w:val="18"/>
        </w:rPr>
        <w:t xml:space="preserve">  |  Azure Cloud Engineer</w:t>
      </w:r>
      <w:r>
        <w:tab/>
      </w:r>
      <w:r>
        <w:rPr>
          <w:rFonts w:ascii="Arial" w:hAnsi="Arial"/>
          <w:i/>
          <w:caps w:val="0"/>
          <w:color w:val="5A6069"/>
          <w:sz w:val="17"/>
        </w:rPr>
        <w:t>Feb 2022 - Dec 2022</w:t>
      </w:r>
    </w:p>
    <w:p>
      <w:pPr>
        <w:pStyle w:val="CompactDetail"/>
        <w:widowControl/>
      </w:pPr>
      <w:r>
        <w:rPr>
          <w:rFonts w:ascii="Arial" w:hAnsi="Arial"/>
          <w:caps w:val="0"/>
          <w:color w:val="1E1E1E"/>
          <w:sz w:val="18"/>
        </w:rPr>
        <w:t>Led Azure endpoint-management and identity-lifecycle initiatives, supported migration from AWS to Azure in a multi-tenant environment, guided Teams adoption, and designed cloud-only identity and endpoint-patching improvements.</w:t>
      </w:r>
    </w:p>
    <w:p>
      <w:pPr>
        <w:pStyle w:val="CompactRole"/>
        <w:keepNext/>
        <w:widowControl/>
        <w:tabs>
          <w:tab w:pos="10339" w:val="right"/>
        </w:tabs>
      </w:pPr>
      <w:r>
        <w:rPr>
          <w:rFonts w:ascii="Arial" w:hAnsi="Arial"/>
          <w:b/>
          <w:caps w:val="0"/>
          <w:color w:val="17365D"/>
          <w:sz w:val="19"/>
        </w:rPr>
        <w:t>Redwood Logistics</w:t>
      </w:r>
      <w:r>
        <w:rPr>
          <w:rFonts w:ascii="Arial" w:hAnsi="Arial"/>
          <w:b/>
          <w:caps w:val="0"/>
          <w:color w:val="1E1E1E"/>
          <w:sz w:val="18"/>
        </w:rPr>
        <w:t xml:space="preserve">  |  Senior Cloud Engineer</w:t>
      </w:r>
      <w:r>
        <w:tab/>
      </w:r>
      <w:r>
        <w:rPr>
          <w:rFonts w:ascii="Arial" w:hAnsi="Arial"/>
          <w:i/>
          <w:caps w:val="0"/>
          <w:color w:val="5A6069"/>
          <w:sz w:val="17"/>
        </w:rPr>
        <w:t>Sep 2021 - Oct 2021</w:t>
      </w:r>
    </w:p>
    <w:p>
      <w:pPr>
        <w:pStyle w:val="CompactDetail"/>
        <w:widowControl/>
      </w:pPr>
      <w:r>
        <w:rPr>
          <w:rFonts w:ascii="Arial" w:hAnsi="Arial"/>
          <w:caps w:val="0"/>
          <w:color w:val="1E1E1E"/>
          <w:sz w:val="18"/>
        </w:rPr>
        <w:t>Supported Azure landing-zone, Cloud Adoption Framework, CI/CD, Terraform, and infrastructure-as-code initiatives for the logistics platform environment.</w:t>
      </w:r>
    </w:p>
    <w:p>
      <w:pPr>
        <w:pStyle w:val="CompactRole"/>
        <w:keepNext/>
        <w:widowControl/>
        <w:tabs>
          <w:tab w:pos="10339" w:val="right"/>
        </w:tabs>
      </w:pPr>
      <w:r>
        <w:rPr>
          <w:rFonts w:ascii="Arial" w:hAnsi="Arial"/>
          <w:b/>
          <w:caps w:val="0"/>
          <w:color w:val="17365D"/>
          <w:sz w:val="19"/>
        </w:rPr>
        <w:t>VillageMD</w:t>
      </w:r>
      <w:r>
        <w:rPr>
          <w:rFonts w:ascii="Arial" w:hAnsi="Arial"/>
          <w:b/>
          <w:caps w:val="0"/>
          <w:color w:val="1E1E1E"/>
          <w:sz w:val="18"/>
        </w:rPr>
        <w:t xml:space="preserve">  |  Platform Architect</w:t>
      </w:r>
      <w:r>
        <w:tab/>
      </w:r>
      <w:r>
        <w:rPr>
          <w:rFonts w:ascii="Arial" w:hAnsi="Arial"/>
          <w:i/>
          <w:caps w:val="0"/>
          <w:color w:val="5A6069"/>
          <w:sz w:val="17"/>
        </w:rPr>
        <w:t>Jan 2020 - Jul 2021</w:t>
      </w:r>
    </w:p>
    <w:p>
      <w:pPr>
        <w:pStyle w:val="CompactDetail"/>
        <w:widowControl/>
      </w:pPr>
      <w:r>
        <w:rPr>
          <w:rFonts w:ascii="Arial" w:hAnsi="Arial"/>
          <w:caps w:val="0"/>
          <w:color w:val="1E1E1E"/>
          <w:sz w:val="18"/>
        </w:rPr>
        <w:t>Led cloud-infrastructure strategy, Microsoft 365 architecture, unified IAM, Azure landing-zone design, Intune zero-touch endpoint management, M&amp;A runbooks, and a senior technical team.</w:t>
      </w:r>
    </w:p>
    <w:p>
      <w:pPr>
        <w:pStyle w:val="CompactRole"/>
        <w:keepNext/>
        <w:widowControl/>
        <w:tabs>
          <w:tab w:pos="10339" w:val="right"/>
        </w:tabs>
      </w:pPr>
      <w:r>
        <w:rPr>
          <w:rFonts w:ascii="Arial" w:hAnsi="Arial"/>
          <w:b/>
          <w:caps w:val="0"/>
          <w:color w:val="17365D"/>
          <w:sz w:val="19"/>
        </w:rPr>
        <w:t>HUB International</w:t>
      </w:r>
      <w:r>
        <w:rPr>
          <w:rFonts w:ascii="Arial" w:hAnsi="Arial"/>
          <w:b/>
          <w:caps w:val="0"/>
          <w:color w:val="1E1E1E"/>
          <w:sz w:val="18"/>
        </w:rPr>
        <w:t xml:space="preserve">  |  Cloud &amp; Infrastructure Engineering</w:t>
      </w:r>
      <w:r>
        <w:tab/>
      </w:r>
      <w:r>
        <w:rPr>
          <w:rFonts w:ascii="Arial" w:hAnsi="Arial"/>
          <w:i/>
          <w:caps w:val="0"/>
          <w:color w:val="5A6069"/>
          <w:sz w:val="17"/>
        </w:rPr>
        <w:t>Aug 2017 - Nov 2019</w:t>
      </w:r>
    </w:p>
    <w:p>
      <w:pPr>
        <w:pStyle w:val="CompactDetail"/>
        <w:widowControl/>
      </w:pPr>
      <w:r>
        <w:rPr>
          <w:rFonts w:ascii="Arial" w:hAnsi="Arial"/>
          <w:caps w:val="0"/>
          <w:color w:val="1E1E1E"/>
          <w:sz w:val="18"/>
        </w:rPr>
        <w:t>Designed Azure and AWS solutions; administered hybrid identity and Microsoft 365; automated account migrations; supported Intune, Kubernetes, security/compliance controls, and M&amp;A application migrations.</w:t>
      </w:r>
    </w:p>
    <w:p>
      <w:pPr>
        <w:pStyle w:val="CompactRole"/>
        <w:keepNext/>
        <w:widowControl/>
        <w:tabs>
          <w:tab w:pos="10339" w:val="right"/>
        </w:tabs>
      </w:pPr>
      <w:r>
        <w:rPr>
          <w:rFonts w:ascii="Arial" w:hAnsi="Arial"/>
          <w:b/>
          <w:caps w:val="0"/>
          <w:color w:val="17365D"/>
          <w:sz w:val="19"/>
        </w:rPr>
        <w:t>Draw Enterprises</w:t>
      </w:r>
      <w:r>
        <w:rPr>
          <w:rFonts w:ascii="Arial" w:hAnsi="Arial"/>
          <w:b/>
          <w:caps w:val="0"/>
          <w:color w:val="1E1E1E"/>
          <w:sz w:val="18"/>
        </w:rPr>
        <w:t xml:space="preserve">  |  IT Projects Manager / IT Manager</w:t>
      </w:r>
      <w:r>
        <w:tab/>
      </w:r>
      <w:r>
        <w:rPr>
          <w:rFonts w:ascii="Arial" w:hAnsi="Arial"/>
          <w:i/>
          <w:caps w:val="0"/>
          <w:color w:val="5A6069"/>
          <w:sz w:val="17"/>
        </w:rPr>
        <w:t>Sep 2016 - Aug 2017</w:t>
      </w:r>
    </w:p>
    <w:p>
      <w:pPr>
        <w:pStyle w:val="CompactDetail"/>
        <w:widowControl/>
      </w:pPr>
      <w:r>
        <w:rPr>
          <w:rFonts w:ascii="Arial" w:hAnsi="Arial"/>
          <w:caps w:val="0"/>
          <w:color w:val="1E1E1E"/>
          <w:sz w:val="18"/>
        </w:rPr>
        <w:t>Led infrastructure modernization across VMware, Exchange, Cisco communications, RDS, MPLS, Active Directory, Group Policy, and online-payment services.</w:t>
      </w:r>
    </w:p>
    <w:p>
      <w:pPr>
        <w:pStyle w:val="ResumeSection"/>
        <w:keepNext/>
        <w:widowControl/>
        <w:pBdr>
          <w:bottom w:val="single" w:sz="7" w:space="2" w:color="B8C6D9"/>
        </w:pBdr>
      </w:pPr>
      <w:r>
        <w:rPr>
          <w:rFonts w:ascii="Arial" w:hAnsi="Arial"/>
          <w:b/>
          <w:caps/>
          <w:color w:val="2E74B5"/>
          <w:sz w:val="21"/>
        </w:rPr>
        <w:t>ADDITIONAL EXPERIENCE</w:t>
      </w:r>
    </w:p>
    <w:p>
      <w:pPr>
        <w:widowControl/>
        <w:spacing w:after="44"/>
      </w:pPr>
      <w:r>
        <w:rPr>
          <w:rFonts w:ascii="Arial" w:hAnsi="Arial"/>
          <w:caps w:val="0"/>
          <w:color w:val="1E1E1E"/>
          <w:sz w:val="18"/>
        </w:rPr>
        <w:t>Senior infrastructure, systems, and network roles with MedData, Federal Home Loan Bank of Chicago, ABC Imaging, NSBA / AT-Tech, Threespot Media, SystemOne, Madden Technologies, and Qiagen Science (2005-2016). Progressed from hands-on systems administration through infrastructure leadership, virtualization, cloud adoption, automation, identity, collaboration, and enterprise architecture.</w:t>
      </w:r>
    </w:p>
    <w:p>
      <w:pPr>
        <w:pStyle w:val="ResumeSection"/>
        <w:keepNext/>
        <w:widowControl/>
        <w:pBdr>
          <w:bottom w:val="single" w:sz="7" w:space="2" w:color="B8C6D9"/>
        </w:pBdr>
      </w:pPr>
      <w:r>
        <w:rPr>
          <w:rFonts w:ascii="Arial" w:hAnsi="Arial"/>
          <w:b/>
          <w:caps/>
          <w:color w:val="2E74B5"/>
          <w:sz w:val="21"/>
        </w:rPr>
        <w:t>TECHNOLOGY</w:t>
      </w:r>
    </w:p>
    <w:p>
      <w:pPr>
        <w:widowControl/>
        <w:spacing w:after="40"/>
      </w:pPr>
      <w:r>
        <w:t>AI Architecture: Enterprise AI skills, MCP, agent workflows, governance, observability, prompt-injection testing, AI gateways  |  Cloud &amp; Edge: Azure, AWS, Cloudflare, Azure Front Door, App Service, Application Gateway, APIM, Functions, Log Analytics  |  Identity &amp; Security: Entra ID, Active Directory, Okta, Conditional Access, Tanium, GRIP, NIST, ISO 27001, CIS  |  Engineering: Terraform, PowerShell, Azure DevOps, CI/CD, VMware, Windows Server, Linux, APIs, DNS, WAF, PKI</w:t>
      </w:r>
    </w:p>
    <w:p>
      <w:pPr>
        <w:pStyle w:val="ResumeSection"/>
        <w:keepNext/>
        <w:widowControl/>
        <w:pBdr>
          <w:bottom w:val="single" w:sz="7" w:space="2" w:color="B8C6D9"/>
        </w:pBdr>
      </w:pPr>
      <w:r>
        <w:rPr>
          <w:rFonts w:ascii="Arial" w:hAnsi="Arial"/>
          <w:b/>
          <w:caps/>
          <w:color w:val="2E74B5"/>
          <w:sz w:val="21"/>
        </w:rPr>
        <w:t>EDUCATION, CREDENTIALS &amp; SERVICE</w:t>
      </w:r>
    </w:p>
    <w:p>
      <w:pPr>
        <w:pStyle w:val="ResumeBullet"/>
        <w:widowControl/>
        <w:numPr>
          <w:ilvl w:val="0"/>
          <w:numId w:val="10"/>
        </w:numPr>
      </w:pPr>
      <w:r>
        <w:rPr>
          <w:rFonts w:ascii="Arial" w:hAnsi="Arial"/>
          <w:caps w:val="0"/>
          <w:color w:val="1E1E1E"/>
          <w:sz w:val="18"/>
        </w:rPr>
        <w:t>Microsoft Certified Systems Engineer (MCSE) training - Ameritrain / Kaplan College</w:t>
      </w:r>
    </w:p>
    <w:p>
      <w:pPr>
        <w:pStyle w:val="ResumeBullet"/>
        <w:widowControl/>
        <w:numPr>
          <w:ilvl w:val="0"/>
          <w:numId w:val="10"/>
        </w:numPr>
      </w:pPr>
      <w:r>
        <w:rPr>
          <w:rFonts w:ascii="Arial" w:hAnsi="Arial"/>
          <w:caps w:val="0"/>
          <w:color w:val="1E1E1E"/>
          <w:sz w:val="18"/>
        </w:rPr>
        <w:t>United States Navy - Electronics / Computer Technician</w:t>
      </w:r>
    </w:p>
    <w:p>
      <w:pPr>
        <w:pStyle w:val="ResumeBullet"/>
        <w:widowControl/>
        <w:numPr>
          <w:ilvl w:val="0"/>
          <w:numId w:val="10"/>
        </w:numPr>
      </w:pPr>
      <w:r>
        <w:rPr>
          <w:rFonts w:ascii="Arial" w:hAnsi="Arial"/>
          <w:caps w:val="0"/>
          <w:color w:val="1E1E1E"/>
          <w:sz w:val="18"/>
        </w:rPr>
        <w:t>HP BladeSystem Administrator coursework  |  Microsoft Virtual Academy PowerShell training</w:t>
      </w:r>
    </w:p>
    <w:sectPr w:rsidR="00FC693F" w:rsidRPr="0006063C" w:rsidSect="00034616">
      <w:footerReference w:type="default" r:id="rId9"/>
      <w:pgSz w:w="12240" w:h="15840"/>
      <w:pgMar w:top="691" w:right="936" w:bottom="662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Arial" w:hAnsi="Arial"/>
        <w:caps w:val="0"/>
        <w:color w:val="5A6069"/>
        <w:sz w:val="16"/>
      </w:rPr>
      <w:t xml:space="preserve">David A. Farris  |  </w:t>
    </w:r>
    <w:r>
      <w:rPr>
        <w:rFonts w:ascii="Arial" w:hAnsi="Arial"/>
        <w:caps w:val="0"/>
        <w:color w:val="5A6069"/>
        <w:sz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461"/>
        </w:tabs>
        <w:ind w:left="461" w:hanging="245"/>
        <w:spacing w:before="0" w:after="32" w:line="247" w:lineRule="auto"/>
      </w:pPr>
      <w:rPr>
        <w:rFonts w:ascii="Arial" w:hAnsi="Arial"/>
        <w:color w:val="2E74B5"/>
        <w:sz w:val="17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8" w:line="252" w:lineRule="auto"/>
    </w:pPr>
    <w:rPr>
      <w:rFonts w:ascii="Arial" w:hAnsi="Arial"/>
      <w:color w:val="1E1E1E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Bullet">
    <w:name w:val="Resume Bullet"/>
    <w:basedOn w:val="Normal"/>
    <w:pPr>
      <w:spacing w:after="32" w:line="247" w:lineRule="auto"/>
    </w:pPr>
  </w:style>
  <w:style w:type="paragraph" w:customStyle="1" w:styleId="ResumeSection">
    <w:name w:val="Resume Section"/>
    <w:basedOn w:val="Normal"/>
    <w:pPr>
      <w:keepNext/>
      <w:spacing w:before="130" w:after="54"/>
    </w:pPr>
  </w:style>
  <w:style w:type="paragraph" w:customStyle="1" w:styleId="Company">
    <w:name w:val="Company"/>
    <w:basedOn w:val="Normal"/>
    <w:pPr>
      <w:keepNext/>
      <w:spacing w:before="84" w:after="16"/>
    </w:pPr>
  </w:style>
  <w:style w:type="paragraph" w:customStyle="1" w:styleId="Role">
    <w:name w:val="Role"/>
    <w:basedOn w:val="Normal"/>
    <w:pPr>
      <w:keepNext/>
      <w:spacing w:before="40" w:after="14"/>
    </w:pPr>
  </w:style>
  <w:style w:type="paragraph" w:customStyle="1" w:styleId="CompactRole">
    <w:name w:val="Compact Role"/>
    <w:basedOn w:val="Normal"/>
    <w:pPr>
      <w:keepNext/>
      <w:spacing w:before="64" w:after="6"/>
    </w:pPr>
  </w:style>
  <w:style w:type="paragraph" w:customStyle="1" w:styleId="CompactDetail">
    <w:name w:val="Compact Detail"/>
    <w:basedOn w:val="Normal"/>
    <w:pPr>
      <w:spacing w:after="34" w:line="245" w:lineRule="auto"/>
      <w:ind w:left="202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David A. Farris - Security &amp; AI Architecture Resume</dc:title>
  <dc:subject>Security Architecture, Cloud, Zero Trust, and AI Security</dc:subject>
  <dc:creator>David A. Farris</dc:creator>
  <cp:keywords>Security Architecture, AI Security, Zero Trust, Cloudflare, Azure, Entra ID, M&amp;A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